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43C" w:rsidRDefault="0001543C" w:rsidP="0001543C">
      <w:pPr>
        <w:pStyle w:val="a3"/>
        <w:tabs>
          <w:tab w:val="left" w:pos="9030"/>
        </w:tabs>
        <w:jc w:val="right"/>
        <w:rPr>
          <w:sz w:val="22"/>
        </w:rPr>
      </w:pPr>
      <w:r>
        <w:rPr>
          <w:sz w:val="24"/>
          <w:szCs w:val="24"/>
        </w:rPr>
        <w:t xml:space="preserve">          Приложение № 2</w:t>
      </w:r>
      <w:r>
        <w:rPr>
          <w:sz w:val="24"/>
          <w:szCs w:val="24"/>
        </w:rPr>
        <w:tab/>
        <w:t xml:space="preserve">      </w:t>
      </w:r>
    </w:p>
    <w:p w:rsidR="0001543C" w:rsidRDefault="0001543C" w:rsidP="0001543C">
      <w:pPr>
        <w:pStyle w:val="a3"/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к </w:t>
      </w:r>
      <w:proofErr w:type="gramStart"/>
      <w:r>
        <w:rPr>
          <w:sz w:val="22"/>
        </w:rPr>
        <w:t>приказу  от</w:t>
      </w:r>
      <w:proofErr w:type="gramEnd"/>
      <w:r>
        <w:rPr>
          <w:sz w:val="22"/>
        </w:rPr>
        <w:t xml:space="preserve"> 30.09.2021  №  308</w:t>
      </w:r>
    </w:p>
    <w:p w:rsidR="0001543C" w:rsidRDefault="0001543C" w:rsidP="0001543C">
      <w:pPr>
        <w:tabs>
          <w:tab w:val="left" w:pos="945"/>
          <w:tab w:val="left" w:pos="8490"/>
        </w:tabs>
        <w:ind w:left="851"/>
        <w:rPr>
          <w:sz w:val="24"/>
          <w:szCs w:val="24"/>
        </w:rPr>
      </w:pPr>
    </w:p>
    <w:p w:rsidR="0001543C" w:rsidRDefault="0001543C" w:rsidP="0001543C">
      <w:pPr>
        <w:tabs>
          <w:tab w:val="left" w:pos="945"/>
          <w:tab w:val="left" w:pos="8490"/>
        </w:tabs>
        <w:rPr>
          <w:sz w:val="24"/>
          <w:szCs w:val="24"/>
        </w:rPr>
      </w:pPr>
    </w:p>
    <w:p w:rsidR="0001543C" w:rsidRDefault="0001543C" w:rsidP="0001543C">
      <w:pPr>
        <w:tabs>
          <w:tab w:val="left" w:pos="945"/>
          <w:tab w:val="left" w:pos="8490"/>
        </w:tabs>
        <w:spacing w:after="0"/>
        <w:jc w:val="center"/>
        <w:rPr>
          <w:szCs w:val="28"/>
        </w:rPr>
      </w:pPr>
      <w:r>
        <w:rPr>
          <w:szCs w:val="28"/>
        </w:rPr>
        <w:t>Дорожная карта введения компонента «функциональная грамотность»</w:t>
      </w:r>
    </w:p>
    <w:p w:rsidR="0001543C" w:rsidRDefault="0001543C" w:rsidP="0001543C">
      <w:pPr>
        <w:tabs>
          <w:tab w:val="left" w:pos="945"/>
          <w:tab w:val="left" w:pos="8490"/>
        </w:tabs>
        <w:spacing w:after="0"/>
        <w:jc w:val="center"/>
        <w:rPr>
          <w:szCs w:val="28"/>
        </w:rPr>
      </w:pPr>
      <w:r>
        <w:rPr>
          <w:szCs w:val="28"/>
        </w:rPr>
        <w:t>в основные общеобразовательные программы</w:t>
      </w:r>
    </w:p>
    <w:p w:rsidR="0001543C" w:rsidRDefault="0001543C" w:rsidP="0001543C">
      <w:pPr>
        <w:tabs>
          <w:tab w:val="left" w:pos="945"/>
          <w:tab w:val="left" w:pos="8490"/>
        </w:tabs>
        <w:ind w:left="851"/>
        <w:rPr>
          <w:szCs w:val="28"/>
        </w:rPr>
      </w:pPr>
    </w:p>
    <w:tbl>
      <w:tblPr>
        <w:tblW w:w="1580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 w:firstRow="0" w:lastRow="0" w:firstColumn="1" w:lastColumn="0" w:noHBand="0" w:noVBand="1"/>
      </w:tblPr>
      <w:tblGrid>
        <w:gridCol w:w="567"/>
        <w:gridCol w:w="5238"/>
        <w:gridCol w:w="436"/>
        <w:gridCol w:w="524"/>
        <w:gridCol w:w="436"/>
        <w:gridCol w:w="436"/>
        <w:gridCol w:w="436"/>
        <w:gridCol w:w="436"/>
        <w:gridCol w:w="436"/>
        <w:gridCol w:w="547"/>
        <w:gridCol w:w="436"/>
        <w:gridCol w:w="436"/>
        <w:gridCol w:w="436"/>
        <w:gridCol w:w="3169"/>
        <w:gridCol w:w="1835"/>
      </w:tblGrid>
      <w:tr w:rsidR="0001543C" w:rsidTr="0001543C">
        <w:trPr>
          <w:gridAfter w:val="1"/>
          <w:wAfter w:w="1835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  <w:r>
              <w:rPr>
                <w:sz w:val="22"/>
              </w:rPr>
              <w:t>№</w:t>
            </w:r>
          </w:p>
        </w:tc>
        <w:tc>
          <w:tcPr>
            <w:tcW w:w="5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  <w:r>
              <w:rPr>
                <w:sz w:val="22"/>
              </w:rPr>
              <w:t>Мероприятие</w:t>
            </w:r>
          </w:p>
        </w:tc>
        <w:tc>
          <w:tcPr>
            <w:tcW w:w="49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  <w:r>
              <w:rPr>
                <w:sz w:val="22"/>
              </w:rPr>
              <w:t>Месяцы(август -  июнь)</w:t>
            </w:r>
          </w:p>
        </w:tc>
        <w:tc>
          <w:tcPr>
            <w:tcW w:w="3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  <w:r>
              <w:rPr>
                <w:sz w:val="22"/>
              </w:rPr>
              <w:t>Комментарий для управленца</w:t>
            </w:r>
          </w:p>
        </w:tc>
      </w:tr>
      <w:tr w:rsidR="0001543C" w:rsidTr="0001543C">
        <w:trPr>
          <w:gridAfter w:val="1"/>
          <w:wAfter w:w="1835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43C" w:rsidRDefault="0001543C">
            <w:pPr>
              <w:spacing w:after="0"/>
              <w:rPr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43C" w:rsidRDefault="0001543C">
            <w:pPr>
              <w:spacing w:after="0"/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  <w:r>
              <w:rPr>
                <w:sz w:val="22"/>
              </w:rPr>
              <w:t>08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  <w:r>
              <w:rPr>
                <w:sz w:val="22"/>
              </w:rPr>
              <w:t>09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  <w:r>
              <w:rPr>
                <w:sz w:val="22"/>
              </w:rPr>
              <w:t>01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  <w:r>
              <w:rPr>
                <w:sz w:val="22"/>
              </w:rPr>
              <w:t>03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  <w:r>
              <w:rPr>
                <w:sz w:val="22"/>
              </w:rPr>
              <w:t>04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  <w:r>
              <w:rPr>
                <w:sz w:val="22"/>
              </w:rPr>
              <w:t>05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  <w:r>
              <w:rPr>
                <w:sz w:val="22"/>
              </w:rPr>
              <w:t>06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43C" w:rsidRDefault="0001543C">
            <w:pPr>
              <w:spacing w:after="0"/>
              <w:rPr>
                <w:sz w:val="22"/>
              </w:rPr>
            </w:pPr>
          </w:p>
        </w:tc>
      </w:tr>
      <w:tr w:rsidR="0001543C" w:rsidTr="0001543C">
        <w:trPr>
          <w:gridAfter w:val="1"/>
          <w:wAfter w:w="1835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  <w:r>
              <w:rPr>
                <w:sz w:val="22"/>
              </w:rPr>
              <w:t>Аннотировать состав предстоящих работ на семинарах/секциях августовских совещаний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v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  <w:r>
              <w:rPr>
                <w:sz w:val="22"/>
              </w:rPr>
              <w:t xml:space="preserve">На сегодняшний </w:t>
            </w:r>
            <w:proofErr w:type="gramStart"/>
            <w:r>
              <w:rPr>
                <w:sz w:val="22"/>
              </w:rPr>
              <w:t>день ,</w:t>
            </w:r>
            <w:proofErr w:type="gramEnd"/>
            <w:r>
              <w:rPr>
                <w:sz w:val="22"/>
              </w:rPr>
              <w:t xml:space="preserve"> единой федеральных подходов по введению ФГ нет. Однако региональные власти станут будировать соответствующие работы в силу </w:t>
            </w:r>
            <w:proofErr w:type="gramStart"/>
            <w:r>
              <w:rPr>
                <w:sz w:val="22"/>
              </w:rPr>
              <w:t>« разнарядки</w:t>
            </w:r>
            <w:proofErr w:type="gramEnd"/>
            <w:r>
              <w:rPr>
                <w:sz w:val="22"/>
              </w:rPr>
              <w:t>» от Министерства.  Проявить в этой ситуации инициативу и предложить удобную логику изменений – выгодно самим школам</w:t>
            </w:r>
          </w:p>
        </w:tc>
      </w:tr>
      <w:tr w:rsidR="0001543C" w:rsidTr="0001543C">
        <w:trPr>
          <w:gridAfter w:val="1"/>
          <w:wAfter w:w="1835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  <w:r>
              <w:rPr>
                <w:sz w:val="22"/>
              </w:rPr>
              <w:t xml:space="preserve">Добиться единого понимания термина «функциональная грамотность»; обсудить демоверсии тестов PISA, размещенных на сайте ЦОКО РАО; подготовить шаблон – алгоритм </w:t>
            </w:r>
            <w:r>
              <w:rPr>
                <w:sz w:val="22"/>
                <w:lang w:val="en-US"/>
              </w:rPr>
              <w:t>PISA</w:t>
            </w:r>
            <w:r>
              <w:rPr>
                <w:sz w:val="22"/>
              </w:rPr>
              <w:t>-подобных тренировочных инструментов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v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ind w:left="-1764"/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  <w:proofErr w:type="spellStart"/>
            <w:r>
              <w:rPr>
                <w:sz w:val="22"/>
              </w:rPr>
              <w:t>См.ссылки</w:t>
            </w:r>
            <w:proofErr w:type="spellEnd"/>
            <w:r>
              <w:rPr>
                <w:sz w:val="22"/>
              </w:rPr>
              <w:t xml:space="preserve"> и справочную информацию ниже</w:t>
            </w:r>
          </w:p>
        </w:tc>
      </w:tr>
      <w:tr w:rsidR="0001543C" w:rsidTr="0001543C">
        <w:trPr>
          <w:gridAfter w:val="1"/>
          <w:wAfter w:w="1835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  <w:r>
              <w:rPr>
                <w:sz w:val="22"/>
              </w:rPr>
              <w:t xml:space="preserve">Поставить задание педагогам пересмотреть содержание рабочих программ на предмет выделение тем/занятий, которые будут проводиться с использованием </w:t>
            </w:r>
            <w:r>
              <w:rPr>
                <w:sz w:val="22"/>
                <w:lang w:val="en-US"/>
              </w:rPr>
              <w:t>PISA</w:t>
            </w:r>
            <w:r>
              <w:rPr>
                <w:sz w:val="22"/>
              </w:rPr>
              <w:t>- подобных тренировочных инструментов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v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  <w:r>
              <w:rPr>
                <w:sz w:val="22"/>
              </w:rPr>
              <w:t xml:space="preserve">Исходим из </w:t>
            </w:r>
            <w:proofErr w:type="gramStart"/>
            <w:r>
              <w:rPr>
                <w:sz w:val="22"/>
              </w:rPr>
              <w:t>факта ,</w:t>
            </w:r>
            <w:proofErr w:type="gramEnd"/>
            <w:r>
              <w:rPr>
                <w:sz w:val="22"/>
              </w:rPr>
              <w:t xml:space="preserve"> что </w:t>
            </w:r>
            <w:proofErr w:type="spellStart"/>
            <w:r>
              <w:rPr>
                <w:sz w:val="22"/>
              </w:rPr>
              <w:t>деятельностное</w:t>
            </w:r>
            <w:proofErr w:type="spellEnd"/>
            <w:r>
              <w:rPr>
                <w:sz w:val="22"/>
              </w:rPr>
              <w:t xml:space="preserve">  содержание и бытовой контекст (основа ФГ) есть в любом предмете. Просто их нужно извлечь и сделать приоритетом учебного </w:t>
            </w:r>
            <w:r>
              <w:rPr>
                <w:sz w:val="22"/>
              </w:rPr>
              <w:lastRenderedPageBreak/>
              <w:t>взаимодействия со школьниками</w:t>
            </w:r>
          </w:p>
        </w:tc>
      </w:tr>
      <w:tr w:rsidR="0001543C" w:rsidTr="0001543C">
        <w:trPr>
          <w:gridAfter w:val="1"/>
          <w:wAfter w:w="1835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  <w:r>
              <w:rPr>
                <w:sz w:val="22"/>
              </w:rPr>
              <w:t xml:space="preserve">Провести первую серию мастер-классов учителей образовательных организаций с трансляцией опыта применения </w:t>
            </w:r>
            <w:r>
              <w:rPr>
                <w:sz w:val="22"/>
                <w:lang w:val="en-US"/>
              </w:rPr>
              <w:t>PISA</w:t>
            </w:r>
            <w:r>
              <w:rPr>
                <w:sz w:val="22"/>
              </w:rPr>
              <w:t>- подобных тренировочных инструментов на уроке. Фокус- читательская и математическая грамотность .Организовать методический анализ опыта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V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  <w:r>
              <w:rPr>
                <w:sz w:val="22"/>
              </w:rPr>
              <w:t xml:space="preserve">Важно делать не показательный </w:t>
            </w:r>
            <w:proofErr w:type="spellStart"/>
            <w:proofErr w:type="gramStart"/>
            <w:r>
              <w:rPr>
                <w:sz w:val="22"/>
              </w:rPr>
              <w:t>отчет,а</w:t>
            </w:r>
            <w:proofErr w:type="spellEnd"/>
            <w:proofErr w:type="gramEnd"/>
            <w:r>
              <w:rPr>
                <w:sz w:val="22"/>
              </w:rPr>
              <w:t xml:space="preserve">  именно методический разбор с трансляцией дефицитов и обсуждением их разрешения. Просмотреть сразу два направления ФГ выгодно, чтобы понять, какое из них пойдет в пилот для проведения промежуточной аттестации. Не исключено, что «сил» не хватит на оба </w:t>
            </w:r>
          </w:p>
        </w:tc>
      </w:tr>
      <w:tr w:rsidR="0001543C" w:rsidTr="0001543C">
        <w:trPr>
          <w:gridAfter w:val="1"/>
          <w:wAfter w:w="1835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  <w:r>
              <w:rPr>
                <w:sz w:val="22"/>
              </w:rPr>
              <w:t xml:space="preserve">Определить предмет(ты) по которым промежуточная аттестация в конце года будет проведена с применением </w:t>
            </w:r>
            <w:r>
              <w:rPr>
                <w:sz w:val="22"/>
                <w:lang w:val="en-US"/>
              </w:rPr>
              <w:t>PISA</w:t>
            </w:r>
            <w:r>
              <w:rPr>
                <w:sz w:val="22"/>
              </w:rPr>
              <w:t>-подобных тренировочных инструментов (в расчет берут обучающихся 15-16 лет; т.е.8-й класс наиболее предпочтителен)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V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ind w:left="1734" w:hanging="1734"/>
              <w:rPr>
                <w:sz w:val="22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  <w:r>
              <w:rPr>
                <w:sz w:val="22"/>
              </w:rPr>
              <w:t xml:space="preserve">Поскольку </w:t>
            </w:r>
            <w:r>
              <w:rPr>
                <w:sz w:val="22"/>
                <w:lang w:val="en-US"/>
              </w:rPr>
              <w:t>PISA</w:t>
            </w:r>
            <w:r>
              <w:rPr>
                <w:sz w:val="22"/>
              </w:rPr>
              <w:t xml:space="preserve">-подобные задания строятся на </w:t>
            </w:r>
            <w:proofErr w:type="spellStart"/>
            <w:r>
              <w:rPr>
                <w:sz w:val="22"/>
              </w:rPr>
              <w:t>межпредметной</w:t>
            </w:r>
            <w:proofErr w:type="spellEnd"/>
            <w:r>
              <w:rPr>
                <w:sz w:val="22"/>
              </w:rPr>
              <w:t xml:space="preserve"> основе, то одним заданием можно «закрыть» промежуточную сразу по двум или трем предметам. Соответствующие шаги отражают в приказе о проведении промежуточной</w:t>
            </w:r>
          </w:p>
        </w:tc>
      </w:tr>
      <w:tr w:rsidR="0001543C" w:rsidTr="0001543C">
        <w:trPr>
          <w:gridAfter w:val="1"/>
          <w:wAfter w:w="1835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  <w:r>
              <w:rPr>
                <w:sz w:val="22"/>
              </w:rPr>
              <w:t>Запустить рабочую группу  педагогов (Возможно, с поддержкой внешнего эксперта) по подготовке КИМ для промежуточной аттестации (</w:t>
            </w:r>
            <w:proofErr w:type="spellStart"/>
            <w:r>
              <w:rPr>
                <w:sz w:val="22"/>
              </w:rPr>
              <w:t>метапредметные</w:t>
            </w:r>
            <w:proofErr w:type="spellEnd"/>
            <w:r>
              <w:rPr>
                <w:sz w:val="22"/>
              </w:rPr>
              <w:t xml:space="preserve"> результаты)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v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  <w:r>
              <w:rPr>
                <w:sz w:val="22"/>
              </w:rPr>
              <w:t xml:space="preserve">Допустим принято решение, что в пилот пойдет такой компонент ФГ, как </w:t>
            </w:r>
            <w:proofErr w:type="spellStart"/>
            <w:r>
              <w:rPr>
                <w:sz w:val="22"/>
              </w:rPr>
              <w:t>математическа</w:t>
            </w:r>
            <w:proofErr w:type="spellEnd"/>
            <w:r>
              <w:rPr>
                <w:sz w:val="22"/>
              </w:rPr>
              <w:t xml:space="preserve"> грамотность. Следовательно, выводим на математику. Дополнительно  включаем КИМ задания на креативное мышление</w:t>
            </w:r>
          </w:p>
        </w:tc>
      </w:tr>
      <w:tr w:rsidR="0001543C" w:rsidTr="0001543C">
        <w:trPr>
          <w:gridAfter w:val="1"/>
          <w:wAfter w:w="1835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  <w:r>
              <w:rPr>
                <w:sz w:val="22"/>
              </w:rPr>
              <w:t xml:space="preserve">Продумать информационно – просветительскую работу с родителями на предмет введения ФГ и изменения практик оценки: состав информации, кто </w:t>
            </w:r>
            <w:r>
              <w:rPr>
                <w:sz w:val="22"/>
              </w:rPr>
              <w:lastRenderedPageBreak/>
              <w:t xml:space="preserve">и когда выступает, как собирается обратная связь(реакция родителей), кем и как будет </w:t>
            </w:r>
            <w:proofErr w:type="spellStart"/>
            <w:r>
              <w:rPr>
                <w:sz w:val="22"/>
              </w:rPr>
              <w:t>вестись»работа</w:t>
            </w:r>
            <w:proofErr w:type="spellEnd"/>
            <w:r>
              <w:rPr>
                <w:sz w:val="22"/>
              </w:rPr>
              <w:t xml:space="preserve"> с возражением»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P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v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  <w:r>
              <w:rPr>
                <w:sz w:val="22"/>
              </w:rPr>
              <w:t xml:space="preserve">Важно показать родителям, что разворот ВСОКО в сторону ФГ не препятствует </w:t>
            </w:r>
            <w:r>
              <w:rPr>
                <w:sz w:val="22"/>
              </w:rPr>
              <w:lastRenderedPageBreak/>
              <w:t xml:space="preserve">подготовке к ГИА, а способствует этому. Изначально следует позиционировать предстоящие изменения как новые подходы к </w:t>
            </w:r>
            <w:proofErr w:type="gramStart"/>
            <w:r>
              <w:rPr>
                <w:sz w:val="22"/>
              </w:rPr>
              <w:t>улучшению  академических</w:t>
            </w:r>
            <w:proofErr w:type="gramEnd"/>
            <w:r>
              <w:rPr>
                <w:sz w:val="22"/>
              </w:rPr>
              <w:t xml:space="preserve"> результатов обучающихся. Обязательно сказать , что задания ГИА изменятся к 2021/22 </w:t>
            </w:r>
            <w:proofErr w:type="spellStart"/>
            <w:r>
              <w:rPr>
                <w:sz w:val="22"/>
              </w:rPr>
              <w:t>у.г</w:t>
            </w:r>
            <w:proofErr w:type="spellEnd"/>
            <w:r>
              <w:rPr>
                <w:sz w:val="22"/>
              </w:rPr>
              <w:t>. т.к. завершится переход на ФГОС общего образования во всех школах РФ ( пока ГИА проводится на ФКГОС) Желательно организовать работу с родителями через Управляющий совет</w:t>
            </w:r>
          </w:p>
        </w:tc>
      </w:tr>
      <w:tr w:rsidR="0001543C" w:rsidTr="0001543C">
        <w:trPr>
          <w:gridAfter w:val="1"/>
          <w:wAfter w:w="1835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  <w:r>
              <w:rPr>
                <w:sz w:val="22"/>
              </w:rPr>
              <w:t xml:space="preserve">Провести вторую серию мастер-классов с трансляцией опыта применения </w:t>
            </w:r>
            <w:r>
              <w:rPr>
                <w:sz w:val="22"/>
                <w:lang w:val="en-US"/>
              </w:rPr>
              <w:t>PISA</w:t>
            </w:r>
            <w:r>
              <w:rPr>
                <w:sz w:val="22"/>
              </w:rPr>
              <w:t xml:space="preserve">- подобных тренировочных инструментов на </w:t>
            </w:r>
            <w:proofErr w:type="gramStart"/>
            <w:r>
              <w:rPr>
                <w:sz w:val="22"/>
              </w:rPr>
              <w:t>уроке .</w:t>
            </w:r>
            <w:proofErr w:type="gramEnd"/>
            <w:r>
              <w:rPr>
                <w:sz w:val="22"/>
              </w:rPr>
              <w:t xml:space="preserve"> Фокус- читательская грамотность в сочетании с глобальными компетенциями и естественно - научная  грамотность с креативным мышлением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P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v</w:t>
            </w: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  <w:lang w:val="en-US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v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  <w:r>
              <w:rPr>
                <w:sz w:val="22"/>
              </w:rPr>
              <w:t>Задача второй серии мастер – классов – посмотреть , как в головные компоненты ФГ встраиваются глобальные компетенции и ( или) креативное мышление</w:t>
            </w:r>
          </w:p>
        </w:tc>
      </w:tr>
      <w:tr w:rsidR="0001543C" w:rsidTr="0001543C">
        <w:trPr>
          <w:gridAfter w:val="1"/>
          <w:wAfter w:w="1835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  <w:r>
              <w:rPr>
                <w:sz w:val="22"/>
              </w:rPr>
              <w:t>Запустить изменения рабочих программ по предметам. Поставить педагогам задачу подготовить по одному примеру тематического планирования ( на один из разделов РП ), в котором планируемые предметные результаты прописаны в деятельности залоге с ориентацией  на ФГ и приложен КИМ (</w:t>
            </w:r>
            <w:r>
              <w:rPr>
                <w:sz w:val="22"/>
                <w:lang w:val="en-US"/>
              </w:rPr>
              <w:t>PISA</w:t>
            </w:r>
            <w:r>
              <w:rPr>
                <w:sz w:val="22"/>
              </w:rPr>
              <w:t>- подобных тренировочных инструментов) для оценки результатов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v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  <w:r>
              <w:rPr>
                <w:sz w:val="22"/>
              </w:rPr>
              <w:t xml:space="preserve">Планируемые результаты освоения РП давно уже перестают быть чисто предметными. </w:t>
            </w:r>
            <w:proofErr w:type="gramStart"/>
            <w:r>
              <w:rPr>
                <w:sz w:val="22"/>
              </w:rPr>
              <w:t>Это  логика</w:t>
            </w:r>
            <w:proofErr w:type="gramEnd"/>
            <w:r>
              <w:rPr>
                <w:sz w:val="22"/>
              </w:rPr>
              <w:t xml:space="preserve"> ФГОС которая обязывает интегрировать УУД  в текущий  тематический контроль. Тренд ФГ лишь ускоряет этот процесс. Все педагоги должны </w:t>
            </w:r>
            <w:proofErr w:type="gramStart"/>
            <w:r>
              <w:rPr>
                <w:sz w:val="22"/>
              </w:rPr>
              <w:t>понимать ,</w:t>
            </w:r>
            <w:proofErr w:type="gramEnd"/>
            <w:r>
              <w:rPr>
                <w:sz w:val="22"/>
              </w:rPr>
              <w:t xml:space="preserve"> что «изменения необратимы». Сроки   полного обновления </w:t>
            </w:r>
            <w:r>
              <w:rPr>
                <w:sz w:val="22"/>
              </w:rPr>
              <w:lastRenderedPageBreak/>
              <w:t>РП планируйте исходя из региональной политики.</w:t>
            </w:r>
          </w:p>
        </w:tc>
      </w:tr>
      <w:tr w:rsidR="0001543C" w:rsidTr="0001543C">
        <w:trPr>
          <w:trHeight w:val="553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5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  <w:r>
              <w:rPr>
                <w:sz w:val="22"/>
              </w:rPr>
              <w:t xml:space="preserve">Провести планируемую промежуточную аттестацию с применением </w:t>
            </w:r>
            <w:r>
              <w:rPr>
                <w:sz w:val="22"/>
                <w:lang w:val="en-US"/>
              </w:rPr>
              <w:t>PISA</w:t>
            </w:r>
            <w:r>
              <w:rPr>
                <w:sz w:val="22"/>
              </w:rPr>
              <w:t xml:space="preserve">- подобных тренировочных инструментов. Детально проанализировать </w:t>
            </w:r>
            <w:proofErr w:type="gramStart"/>
            <w:r>
              <w:rPr>
                <w:sz w:val="22"/>
              </w:rPr>
              <w:t>результаты .</w:t>
            </w:r>
            <w:proofErr w:type="gramEnd"/>
            <w:r>
              <w:rPr>
                <w:sz w:val="22"/>
              </w:rPr>
              <w:t xml:space="preserve"> Подготовить информационный продукт для родителей и педагогов</w:t>
            </w:r>
          </w:p>
        </w:tc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5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v</w:t>
            </w:r>
          </w:p>
        </w:tc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3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  <w:r>
              <w:rPr>
                <w:sz w:val="22"/>
              </w:rPr>
              <w:t xml:space="preserve">В силу рисков пилотирования шкалу перевода баллов в годовые отметки по предметам лучше сделать максимально подвижной , чтобы избежать «неожиданностей» </w:t>
            </w: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</w:tr>
      <w:tr w:rsidR="0001543C" w:rsidTr="0001543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  <w:r>
              <w:rPr>
                <w:sz w:val="22"/>
              </w:rPr>
              <w:t xml:space="preserve">Составить план-  график корректировки рабочих программ по всем предметам и продумать контроль исполнения плана. Продумать использование ресурса внеурочной деятельности для развития </w:t>
            </w:r>
            <w:proofErr w:type="spellStart"/>
            <w:r>
              <w:rPr>
                <w:sz w:val="22"/>
              </w:rPr>
              <w:t>самомотивации</w:t>
            </w:r>
            <w:proofErr w:type="spellEnd"/>
            <w:r>
              <w:rPr>
                <w:sz w:val="22"/>
              </w:rPr>
              <w:t xml:space="preserve"> обучающихся в направлении </w:t>
            </w:r>
            <w:proofErr w:type="gramStart"/>
            <w:r>
              <w:rPr>
                <w:sz w:val="22"/>
              </w:rPr>
              <w:t>ФГ .</w:t>
            </w:r>
            <w:proofErr w:type="gramEnd"/>
            <w:r>
              <w:rPr>
                <w:sz w:val="22"/>
              </w:rPr>
              <w:t xml:space="preserve"> Составить проект  плана внеурочной деятельности на следующий учебный год с акцентом на развивающих эффектах воспитательной работы 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v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  <w:r>
              <w:rPr>
                <w:sz w:val="22"/>
              </w:rPr>
              <w:t xml:space="preserve">Сроки исполнения – по ситуации; стоит придерживаться региональной политики в этом вопросе. В связи с обязательством учитывать новую Примерную программу воспитания </w:t>
            </w:r>
            <w:proofErr w:type="gramStart"/>
            <w:r>
              <w:rPr>
                <w:sz w:val="22"/>
              </w:rPr>
              <w:t>РАО(</w:t>
            </w:r>
            <w:proofErr w:type="gramEnd"/>
            <w:r>
              <w:rPr>
                <w:sz w:val="22"/>
              </w:rPr>
              <w:t xml:space="preserve">Письмо </w:t>
            </w:r>
            <w:proofErr w:type="spellStart"/>
            <w:r>
              <w:rPr>
                <w:sz w:val="22"/>
              </w:rPr>
              <w:t>Минпросвещения</w:t>
            </w:r>
            <w:proofErr w:type="spellEnd"/>
            <w:r>
              <w:rPr>
                <w:sz w:val="22"/>
              </w:rPr>
              <w:t xml:space="preserve"> России )от 04.08.2020г. № ДГ – 1249/06). Целесообразно  сделать ставку на модули, предложенные  этой программой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43C" w:rsidRDefault="0001543C">
            <w:pPr>
              <w:spacing w:after="0"/>
              <w:rPr>
                <w:sz w:val="22"/>
              </w:rPr>
            </w:pPr>
          </w:p>
        </w:tc>
      </w:tr>
      <w:tr w:rsidR="0001543C" w:rsidTr="0001543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  <w:r>
              <w:rPr>
                <w:sz w:val="22"/>
              </w:rPr>
              <w:t xml:space="preserve">Пересмотреть подходы к индивидуальным проектам в старшей школе. ,Продумать возможность разрешить старшеклассникам делать проекты по «комплектованию идей» для </w:t>
            </w:r>
            <w:r>
              <w:rPr>
                <w:sz w:val="22"/>
                <w:lang w:val="en-US"/>
              </w:rPr>
              <w:t>PISA</w:t>
            </w:r>
            <w:r>
              <w:rPr>
                <w:sz w:val="22"/>
              </w:rPr>
              <w:t>- подобных тренировочных/оценочных инструментов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  <w:r>
              <w:rPr>
                <w:sz w:val="22"/>
              </w:rPr>
              <w:t xml:space="preserve">Поскольку задания на тренировку и оценку ФГ должны учитывать актуальных жизненный опыт </w:t>
            </w:r>
            <w:proofErr w:type="gramStart"/>
            <w:r>
              <w:rPr>
                <w:sz w:val="22"/>
              </w:rPr>
              <w:t>обучающихся ,</w:t>
            </w:r>
            <w:proofErr w:type="gramEnd"/>
            <w:r>
              <w:rPr>
                <w:sz w:val="22"/>
              </w:rPr>
              <w:t xml:space="preserve"> неплохо самим обучающимся дать возможность  этот опыт скомпоновать в сюжеты для заданий . Можно это «облечь» в форму детско- взрослых объединений и провести через план внеурочной деятельности  по </w:t>
            </w:r>
            <w:proofErr w:type="spellStart"/>
            <w:r>
              <w:rPr>
                <w:sz w:val="22"/>
              </w:rPr>
              <w:t>общеинтелектуальному</w:t>
            </w:r>
            <w:proofErr w:type="spellEnd"/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lastRenderedPageBreak/>
              <w:t>направлению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43C" w:rsidRDefault="0001543C">
            <w:pPr>
              <w:spacing w:after="0"/>
              <w:rPr>
                <w:sz w:val="22"/>
              </w:rPr>
            </w:pPr>
          </w:p>
        </w:tc>
      </w:tr>
      <w:tr w:rsidR="0001543C" w:rsidTr="0001543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  <w:r>
              <w:rPr>
                <w:sz w:val="22"/>
              </w:rPr>
              <w:t>Провести круглый стол по итогам работ за год и принятием  плана развития компонента  ФГ в следующем учебном году.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v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1543C" w:rsidRDefault="0001543C">
            <w:pPr>
              <w:tabs>
                <w:tab w:val="left" w:pos="-709"/>
                <w:tab w:val="left" w:pos="8490"/>
              </w:tabs>
              <w:rPr>
                <w:sz w:val="22"/>
              </w:rPr>
            </w:pPr>
            <w:r>
              <w:rPr>
                <w:sz w:val="22"/>
              </w:rPr>
              <w:t xml:space="preserve">Если настоящая дорожная </w:t>
            </w:r>
            <w:proofErr w:type="gramStart"/>
            <w:r>
              <w:rPr>
                <w:sz w:val="22"/>
              </w:rPr>
              <w:t>карта  будет</w:t>
            </w:r>
            <w:proofErr w:type="gramEnd"/>
            <w:r>
              <w:rPr>
                <w:sz w:val="22"/>
              </w:rPr>
              <w:t xml:space="preserve"> в 2020/2021 учебном году  реализована , то основная задача 2021/21 </w:t>
            </w:r>
            <w:proofErr w:type="spellStart"/>
            <w:r>
              <w:rPr>
                <w:sz w:val="22"/>
              </w:rPr>
              <w:t>уч.г</w:t>
            </w:r>
            <w:proofErr w:type="spellEnd"/>
            <w:r>
              <w:rPr>
                <w:sz w:val="22"/>
              </w:rPr>
              <w:t xml:space="preserve">. сделать сложившийся опыт массовым и обязательным для всех педагогов. С соответствующим  пересмотром стимулирующих выплат и обновлением  должностных инструкций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543C" w:rsidRDefault="0001543C">
            <w:pPr>
              <w:spacing w:after="0"/>
              <w:rPr>
                <w:sz w:val="22"/>
              </w:rPr>
            </w:pPr>
          </w:p>
        </w:tc>
      </w:tr>
    </w:tbl>
    <w:p w:rsidR="0001543C" w:rsidRDefault="0001543C" w:rsidP="0001543C">
      <w:pPr>
        <w:tabs>
          <w:tab w:val="left" w:pos="-709"/>
          <w:tab w:val="left" w:pos="8490"/>
        </w:tabs>
        <w:ind w:left="851"/>
        <w:rPr>
          <w:sz w:val="22"/>
        </w:rPr>
      </w:pPr>
    </w:p>
    <w:p w:rsidR="00602437" w:rsidRDefault="00602437">
      <w:bookmarkStart w:id="0" w:name="_GoBack"/>
      <w:bookmarkEnd w:id="0"/>
    </w:p>
    <w:sectPr w:rsidR="00602437" w:rsidSect="0001543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47AB"/>
    <w:rsid w:val="0001543C"/>
    <w:rsid w:val="00602437"/>
    <w:rsid w:val="00B42E5C"/>
    <w:rsid w:val="00E6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C3702-83EF-4BD0-A91D-0D1D03055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43C"/>
    <w:pPr>
      <w:spacing w:after="16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543C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543C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7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994</Words>
  <Characters>5666</Characters>
  <Application>Microsoft Office Word</Application>
  <DocSecurity>0</DocSecurity>
  <Lines>47</Lines>
  <Paragraphs>13</Paragraphs>
  <ScaleCrop>false</ScaleCrop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2021-10-30T00:33:00Z</dcterms:created>
  <dcterms:modified xsi:type="dcterms:W3CDTF">2021-10-30T00:33:00Z</dcterms:modified>
</cp:coreProperties>
</file>